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1C694">
      <w:pPr>
        <w:pStyle w:val="2"/>
      </w:pPr>
      <w:r>
        <w:t>BĂNG PHẢN QUANG</w:t>
      </w:r>
    </w:p>
    <w:p w14:paraId="4A1ADE92">
      <w:pPr>
        <w:tabs>
          <w:tab w:val="left" w:pos="851"/>
          <w:tab w:val="left" w:pos="993"/>
        </w:tabs>
        <w:spacing w:before="120" w:after="120" w:line="400" w:lineRule="exact"/>
        <w:ind w:firstLine="709"/>
        <w:jc w:val="both"/>
        <w:rPr>
          <w:szCs w:val="28"/>
          <w:lang w:val="sv-SE"/>
        </w:rPr>
      </w:pPr>
      <w:r>
        <w:rPr>
          <w:szCs w:val="28"/>
        </w:rPr>
        <w:t>(cg.</w:t>
      </w:r>
      <w:r>
        <w:rPr>
          <w:sz w:val="24"/>
        </w:rPr>
        <w:t xml:space="preserve"> C</w:t>
      </w:r>
      <w:r>
        <w:rPr>
          <w:szCs w:val="28"/>
          <w:lang w:val="sv-SE"/>
        </w:rPr>
        <w:t>uộn dây phản quang bảo vệ hiện trường) là công cụ hỗ trợ được cấu tạo gồm 02 lớp gồm: lớp nhựa PVC trong suốt, bóng mịn mang hạt nano phản quang và lớp màng PE nhám sần, màu trắng bảo vệ hạt phản quang dùng để phân định ranh giới hiện trường. BPQ thường có màu vàng chanh; độ phát sáng phản quang: 300 - 320; độ dầy: 0,52 - 0,55mm; kích thước: 3,5cm x 50m hoặc 5cm x 50m; in chữ  ”POLICE” màu đỏ trên mặt phản quang; lô cuốn tay bằng thép CT3, sơn tĩnh điện; hộp carton màu trắng. Trong lĩnh vực an ninh, BPQ được trang bị cho công an các đơn vị địa phương và các lực lượng thực thi bảo vệ pháp luật.</w:t>
      </w:r>
    </w:p>
    <w:p w14:paraId="7B863D0E">
      <w:pPr>
        <w:pStyle w:val="6"/>
        <w:spacing w:before="120" w:after="120"/>
        <w:ind w:firstLine="709"/>
        <w:jc w:val="right"/>
        <w:rPr>
          <w:rFonts w:ascii="Times New Roman" w:hAnsi="Times New Roman"/>
          <w:b/>
          <w:bCs/>
          <w:i w:val="0"/>
          <w:iCs/>
          <w:sz w:val="24"/>
        </w:rPr>
      </w:pPr>
      <w:r>
        <w:rPr>
          <w:b/>
        </w:rPr>
        <w:t xml:space="preserve">                         </w:t>
      </w:r>
      <w:r>
        <w:rPr>
          <w:rFonts w:ascii="Times New Roman" w:hAnsi="Times New Roman"/>
          <w:b/>
          <w:bCs/>
          <w:i w:val="0"/>
          <w:iCs/>
          <w:sz w:val="24"/>
        </w:rPr>
        <w:t>VƯƠNG BÁ CẨN</w:t>
      </w:r>
    </w:p>
    <w:p w14:paraId="0946AF80">
      <w:pPr>
        <w:tabs>
          <w:tab w:val="left" w:pos="851"/>
          <w:tab w:val="left" w:pos="993"/>
        </w:tabs>
        <w:spacing w:before="120" w:after="120" w:line="400" w:lineRule="exact"/>
        <w:ind w:firstLine="709"/>
        <w:jc w:val="both"/>
        <w:rPr>
          <w:b/>
          <w:szCs w:val="28"/>
        </w:rPr>
      </w:pPr>
    </w:p>
    <w:p w14:paraId="3D3BF29C">
      <w:pPr>
        <w:tabs>
          <w:tab w:val="left" w:pos="851"/>
          <w:tab w:val="left" w:pos="993"/>
        </w:tabs>
        <w:spacing w:before="120" w:after="120" w:line="400" w:lineRule="exact"/>
        <w:ind w:firstLine="709"/>
        <w:jc w:val="both"/>
        <w:rPr>
          <w:b/>
          <w:szCs w:val="28"/>
        </w:rPr>
      </w:pPr>
    </w:p>
    <w:p w14:paraId="04ED368B">
      <w:pPr>
        <w:tabs>
          <w:tab w:val="left" w:pos="851"/>
          <w:tab w:val="left" w:pos="993"/>
        </w:tabs>
        <w:spacing w:before="120" w:after="120" w:line="400" w:lineRule="exact"/>
        <w:ind w:firstLine="709"/>
        <w:jc w:val="both"/>
        <w:rPr>
          <w:b/>
          <w:szCs w:val="28"/>
        </w:rPr>
      </w:pPr>
      <w:bookmarkStart w:id="0" w:name="_GoBack"/>
      <w:r>
        <w:rPr>
          <w:b/>
        </w:rPr>
        <w:drawing>
          <wp:anchor distT="0" distB="0" distL="114300" distR="114300" simplePos="0" relativeHeight="251659264" behindDoc="0" locked="0" layoutInCell="1" allowOverlap="1">
            <wp:simplePos x="0" y="0"/>
            <wp:positionH relativeFrom="column">
              <wp:posOffset>1435100</wp:posOffset>
            </wp:positionH>
            <wp:positionV relativeFrom="paragraph">
              <wp:posOffset>-45085</wp:posOffset>
            </wp:positionV>
            <wp:extent cx="3018155" cy="1974850"/>
            <wp:effectExtent l="0" t="0" r="10795" b="6350"/>
            <wp:wrapNone/>
            <wp:docPr id="21" name="Picture 2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SC0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DSC01743"/>
                    <pic:cNvPicPr>
                      <a:picLocks noChangeAspect="1" noChangeArrowheads="1"/>
                    </pic:cNvPicPr>
                  </pic:nvPicPr>
                  <pic:blipFill>
                    <a:blip r:embed="rId6">
                      <a:lum bright="18000" contrast="60000"/>
                      <a:extLst>
                        <a:ext uri="{28A0092B-C50C-407E-A947-70E740481C1C}">
                          <a14:useLocalDpi xmlns:a14="http://schemas.microsoft.com/office/drawing/2010/main" val="0"/>
                        </a:ext>
                      </a:extLst>
                    </a:blip>
                    <a:srcRect/>
                    <a:stretch>
                      <a:fillRect/>
                    </a:stretch>
                  </pic:blipFill>
                  <pic:spPr>
                    <a:xfrm>
                      <a:off x="0" y="0"/>
                      <a:ext cx="3018155" cy="1974850"/>
                    </a:xfrm>
                    <a:prstGeom prst="rect">
                      <a:avLst/>
                    </a:prstGeom>
                    <a:noFill/>
                    <a:ln>
                      <a:noFill/>
                    </a:ln>
                  </pic:spPr>
                </pic:pic>
              </a:graphicData>
            </a:graphic>
          </wp:anchor>
        </w:drawing>
      </w:r>
      <w:bookmarkEnd w:id="0"/>
    </w:p>
    <w:p w14:paraId="0C5CD44B">
      <w:pPr>
        <w:tabs>
          <w:tab w:val="left" w:pos="851"/>
          <w:tab w:val="left" w:pos="993"/>
        </w:tabs>
        <w:spacing w:before="120" w:after="120" w:line="400" w:lineRule="exact"/>
        <w:ind w:firstLine="709"/>
        <w:jc w:val="both"/>
        <w:rPr>
          <w:b/>
          <w:szCs w:val="28"/>
        </w:rPr>
      </w:pPr>
    </w:p>
    <w:p w14:paraId="58BE763E">
      <w:pPr>
        <w:tabs>
          <w:tab w:val="left" w:pos="851"/>
          <w:tab w:val="left" w:pos="993"/>
        </w:tabs>
        <w:spacing w:before="120" w:after="120" w:line="400" w:lineRule="exact"/>
        <w:ind w:firstLine="709"/>
        <w:jc w:val="both"/>
        <w:rPr>
          <w:b/>
          <w:szCs w:val="28"/>
        </w:rPr>
      </w:pPr>
    </w:p>
    <w:p w14:paraId="434AB6F3">
      <w:pPr>
        <w:tabs>
          <w:tab w:val="left" w:pos="851"/>
          <w:tab w:val="left" w:pos="993"/>
        </w:tabs>
        <w:spacing w:before="120" w:after="120" w:line="400" w:lineRule="exact"/>
        <w:ind w:firstLine="709"/>
        <w:jc w:val="both"/>
        <w:rPr>
          <w:b/>
          <w:szCs w:val="28"/>
        </w:rPr>
      </w:pPr>
    </w:p>
    <w:p w14:paraId="318B90CE">
      <w:pPr>
        <w:tabs>
          <w:tab w:val="left" w:pos="851"/>
          <w:tab w:val="left" w:pos="993"/>
        </w:tabs>
        <w:spacing w:before="120" w:after="120" w:line="400" w:lineRule="exact"/>
        <w:ind w:firstLine="709"/>
        <w:jc w:val="both"/>
        <w:rPr>
          <w:b/>
          <w:szCs w:val="28"/>
        </w:rPr>
      </w:pPr>
    </w:p>
    <w:p w14:paraId="0AE60321">
      <w:pPr>
        <w:tabs>
          <w:tab w:val="left" w:pos="851"/>
          <w:tab w:val="left" w:pos="993"/>
        </w:tabs>
        <w:spacing w:before="120" w:after="120" w:line="400" w:lineRule="exact"/>
        <w:ind w:firstLine="709"/>
        <w:jc w:val="both"/>
        <w:rPr>
          <w:b/>
          <w:szCs w:val="28"/>
        </w:rPr>
      </w:pPr>
    </w:p>
    <w:p w14:paraId="0B4DCD10">
      <w:pPr>
        <w:tabs>
          <w:tab w:val="left" w:pos="851"/>
          <w:tab w:val="left" w:pos="993"/>
        </w:tabs>
        <w:spacing w:after="120" w:line="240" w:lineRule="auto"/>
        <w:jc w:val="center"/>
        <w:rPr>
          <w:i/>
          <w:sz w:val="24"/>
          <w:szCs w:val="24"/>
          <w:lang w:val="sv-SE"/>
        </w:rPr>
      </w:pPr>
      <w:r>
        <w:rPr>
          <w:i/>
          <w:sz w:val="24"/>
          <w:szCs w:val="24"/>
          <w:lang w:val="sv-SE"/>
        </w:rPr>
        <w:t>Băng phản quang</w:t>
      </w:r>
    </w:p>
    <w:p w14:paraId="1D3DAE36">
      <w:pPr>
        <w:spacing w:after="0" w:line="240" w:lineRule="auto"/>
        <w:jc w:val="center"/>
        <w:rPr>
          <w:sz w:val="24"/>
          <w:szCs w:val="24"/>
          <w:lang w:val="sv-SE"/>
        </w:rPr>
      </w:pPr>
      <w:r>
        <w:rPr>
          <w:sz w:val="24"/>
          <w:szCs w:val="24"/>
          <w:lang w:val="sv-SE"/>
        </w:rPr>
        <w:t>(Nguồn: Bách khoa thư Công an nhân dân Việt Nam)</w:t>
      </w:r>
    </w:p>
    <w:p w14:paraId="308B2685">
      <w:pPr>
        <w:spacing w:after="0" w:line="240" w:lineRule="auto"/>
        <w:jc w:val="center"/>
        <w:rPr>
          <w:i/>
          <w:sz w:val="24"/>
          <w:szCs w:val="24"/>
          <w:lang w:val="sv-SE"/>
        </w:rPr>
      </w:pPr>
    </w:p>
    <w:p w14:paraId="55FD34FE">
      <w:pPr>
        <w:pStyle w:val="3"/>
      </w:pPr>
      <w:r>
        <w:t>Tài liệu tham khảo</w:t>
      </w:r>
    </w:p>
    <w:p w14:paraId="29C24E86">
      <w:pPr>
        <w:pStyle w:val="6"/>
        <w:numPr>
          <w:ilvl w:val="0"/>
          <w:numId w:val="1"/>
        </w:numPr>
        <w:tabs>
          <w:tab w:val="left" w:pos="1170"/>
        </w:tabs>
        <w:spacing w:before="120" w:after="120"/>
        <w:ind w:left="0" w:firstLine="900"/>
        <w:rPr>
          <w:rFonts w:ascii="Times New Roman" w:hAnsi="Times New Roman"/>
          <w:bCs/>
          <w:i w:val="0"/>
          <w:iCs/>
          <w:sz w:val="24"/>
        </w:rPr>
      </w:pPr>
      <w:r>
        <w:rPr>
          <w:rFonts w:ascii="Times New Roman" w:hAnsi="Times New Roman"/>
          <w:bCs/>
          <w:i w:val="0"/>
          <w:iCs/>
          <w:sz w:val="24"/>
        </w:rPr>
        <w:t xml:space="preserve">Cục Khoa học, Chiến lược và Lịch sử Công an, </w:t>
      </w:r>
      <w:r>
        <w:rPr>
          <w:rFonts w:ascii="Times New Roman" w:hAnsi="Times New Roman"/>
          <w:bCs/>
          <w:iCs/>
          <w:sz w:val="24"/>
        </w:rPr>
        <w:t xml:space="preserve">Bách khoa thư Công an nhân dân Việt Nam: Phần Khoa học, Kĩ thuật và Công nghệ, </w:t>
      </w:r>
      <w:r>
        <w:rPr>
          <w:rFonts w:ascii="Times New Roman" w:hAnsi="Times New Roman"/>
          <w:bCs/>
          <w:i w:val="0"/>
          <w:iCs/>
          <w:sz w:val="24"/>
        </w:rPr>
        <w:t>Nxb. Công an nhân dân, Hà Nội, 2020.</w:t>
      </w:r>
    </w:p>
    <w:p w14:paraId="23FDD12A">
      <w:pPr>
        <w:pStyle w:val="6"/>
        <w:numPr>
          <w:ilvl w:val="0"/>
          <w:numId w:val="1"/>
        </w:numPr>
        <w:tabs>
          <w:tab w:val="left" w:pos="1170"/>
        </w:tabs>
        <w:spacing w:before="120" w:after="120"/>
        <w:ind w:left="0" w:firstLine="900"/>
        <w:rPr>
          <w:rFonts w:ascii="Times New Roman" w:hAnsi="Times New Roman"/>
          <w:bCs/>
          <w:i w:val="0"/>
          <w:iCs/>
          <w:sz w:val="24"/>
        </w:rPr>
      </w:pPr>
      <w:r>
        <w:rPr>
          <w:rFonts w:ascii="Times New Roman" w:hAnsi="Times New Roman"/>
          <w:bCs/>
          <w:i w:val="0"/>
          <w:iCs/>
          <w:sz w:val="24"/>
        </w:rPr>
        <w:t>Viện Chiến lược và Khoa học Công an</w:t>
      </w:r>
      <w:r>
        <w:rPr>
          <w:rFonts w:ascii="Times New Roman" w:hAnsi="Times New Roman"/>
          <w:bCs/>
          <w:iCs/>
          <w:sz w:val="24"/>
        </w:rPr>
        <w:t xml:space="preserve">, Từ điển bách khoa Công an nhân dân Việt Nam, </w:t>
      </w:r>
      <w:r>
        <w:rPr>
          <w:rFonts w:ascii="Times New Roman" w:hAnsi="Times New Roman"/>
          <w:bCs/>
          <w:i w:val="0"/>
          <w:iCs/>
          <w:sz w:val="24"/>
        </w:rPr>
        <w:t>Nxb. Công an nhân dân, Hà Nội, 2005.</w:t>
      </w:r>
    </w:p>
    <w:p w14:paraId="1F10E39D"/>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51756"/>
    <w:multiLevelType w:val="multilevel"/>
    <w:tmpl w:val="40751756"/>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F96572F"/>
    <w:rsid w:val="16F60ABB"/>
    <w:rsid w:val="1B1E14D7"/>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spacing w:after="0" w:line="400" w:lineRule="exact"/>
      <w:ind w:firstLine="720"/>
      <w:jc w:val="both"/>
    </w:pPr>
    <w:rPr>
      <w:rFonts w:ascii=".VnTime" w:hAnsi=".VnTime" w:eastAsia="Times New Roman" w:cs="Times New Roman"/>
      <w:i/>
      <w:color w:val="000000"/>
      <w:szCs w:val="28"/>
    </w:rPr>
  </w:style>
  <w:style w:type="table" w:styleId="7">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1</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2026-07-06T04:27:32Z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